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A5AF8" w14:textId="4910AB5E" w:rsidR="002775BE" w:rsidRPr="002F2EA5" w:rsidRDefault="00C23ACC" w:rsidP="002775BE">
      <w:pPr>
        <w:jc w:val="center"/>
        <w:rPr>
          <w:rFonts w:ascii="Arial" w:hAnsi="Arial" w:cs="Arial"/>
          <w:b/>
          <w:bCs/>
          <w:sz w:val="24"/>
          <w:szCs w:val="24"/>
        </w:rPr>
      </w:pPr>
      <w:r w:rsidRPr="002F2EA5">
        <w:rPr>
          <w:rFonts w:ascii="Arial" w:hAnsi="Arial" w:cs="Arial"/>
          <w:b/>
          <w:bCs/>
          <w:sz w:val="24"/>
          <w:szCs w:val="24"/>
        </w:rPr>
        <w:t>Safeguarding school-aged children from</w:t>
      </w:r>
    </w:p>
    <w:p w14:paraId="4F54A12F" w14:textId="4598F3B6" w:rsidR="005F6C7A" w:rsidRPr="002F2EA5" w:rsidRDefault="00C23ACC" w:rsidP="002775BE">
      <w:pPr>
        <w:jc w:val="center"/>
        <w:rPr>
          <w:rFonts w:ascii="Arial" w:hAnsi="Arial" w:cs="Arial"/>
          <w:b/>
          <w:bCs/>
          <w:sz w:val="24"/>
          <w:szCs w:val="24"/>
        </w:rPr>
      </w:pPr>
      <w:r w:rsidRPr="002F2EA5">
        <w:rPr>
          <w:rFonts w:ascii="Arial" w:hAnsi="Arial" w:cs="Arial"/>
          <w:b/>
          <w:bCs/>
          <w:sz w:val="24"/>
          <w:szCs w:val="24"/>
        </w:rPr>
        <w:t xml:space="preserve">neglect, harm, abuse, </w:t>
      </w:r>
      <w:proofErr w:type="gramStart"/>
      <w:r w:rsidRPr="002F2EA5">
        <w:rPr>
          <w:rFonts w:ascii="Arial" w:hAnsi="Arial" w:cs="Arial"/>
          <w:b/>
          <w:bCs/>
          <w:sz w:val="24"/>
          <w:szCs w:val="24"/>
        </w:rPr>
        <w:t>exploitation</w:t>
      </w:r>
      <w:proofErr w:type="gramEnd"/>
      <w:r w:rsidRPr="002F2EA5">
        <w:rPr>
          <w:rFonts w:ascii="Arial" w:hAnsi="Arial" w:cs="Arial"/>
          <w:b/>
          <w:bCs/>
          <w:sz w:val="24"/>
          <w:szCs w:val="24"/>
        </w:rPr>
        <w:t xml:space="preserve"> or violence through effective data sharing.</w:t>
      </w:r>
    </w:p>
    <w:p w14:paraId="54D6CD87" w14:textId="77777777" w:rsidR="002775BE" w:rsidRDefault="002775BE" w:rsidP="002775BE">
      <w:pPr>
        <w:rPr>
          <w:rFonts w:ascii="Arial" w:hAnsi="Arial" w:cs="Arial"/>
        </w:rPr>
      </w:pPr>
      <w:r>
        <w:rPr>
          <w:rFonts w:ascii="Arial" w:hAnsi="Arial" w:cs="Arial"/>
        </w:rPr>
        <w:t xml:space="preserve">All professional clinical staff and care staff </w:t>
      </w:r>
      <w:r w:rsidRPr="002775BE">
        <w:rPr>
          <w:rFonts w:ascii="Arial" w:hAnsi="Arial" w:cs="Arial"/>
        </w:rPr>
        <w:t>understand their safeguarding responsibility to share data on vulnerable children with partners in the wider public service system</w:t>
      </w:r>
      <w:r>
        <w:rPr>
          <w:rFonts w:ascii="Arial" w:hAnsi="Arial" w:cs="Arial"/>
        </w:rPr>
        <w:t xml:space="preserve"> as per </w:t>
      </w:r>
    </w:p>
    <w:p w14:paraId="05D175C4" w14:textId="4D6A6CA7" w:rsidR="002775BE" w:rsidRDefault="002775BE" w:rsidP="002775BE">
      <w:pPr>
        <w:rPr>
          <w:rFonts w:ascii="Arial" w:hAnsi="Arial" w:cs="Arial"/>
        </w:rPr>
      </w:pPr>
      <w:hyperlink r:id="rId5" w:history="1">
        <w:r w:rsidRPr="002775BE">
          <w:rPr>
            <w:rStyle w:val="Hyperlink"/>
            <w:rFonts w:ascii="Arial" w:hAnsi="Arial" w:cs="Arial"/>
          </w:rPr>
          <w:t>The DfE data sharing advice to practitioners to safeguard children, 2018</w:t>
        </w:r>
      </w:hyperlink>
      <w:r>
        <w:rPr>
          <w:rFonts w:ascii="Arial" w:hAnsi="Arial" w:cs="Arial"/>
        </w:rPr>
        <w:t xml:space="preserve"> .</w:t>
      </w:r>
    </w:p>
    <w:p w14:paraId="4DCA9E6D" w14:textId="27B2E884" w:rsidR="002775BE" w:rsidRPr="002775BE" w:rsidRDefault="002775BE" w:rsidP="002775BE">
      <w:pPr>
        <w:rPr>
          <w:rFonts w:ascii="Arial" w:hAnsi="Arial" w:cs="Arial"/>
        </w:rPr>
      </w:pPr>
      <w:r>
        <w:rPr>
          <w:rFonts w:ascii="Arial" w:hAnsi="Arial" w:cs="Arial"/>
        </w:rPr>
        <w:t xml:space="preserve">The full range of health care staff who care for school-aged children, including school nursing services, need to be particularly aware of this guidance due to the demonstrable increased vulnerability of school-aged children to safeguarding moments. We must all make every contact count when considering whether to share data </w:t>
      </w:r>
      <w:r w:rsidRPr="002775BE">
        <w:rPr>
          <w:rFonts w:ascii="Arial" w:hAnsi="Arial" w:cs="Arial"/>
        </w:rPr>
        <w:t xml:space="preserve">whenever it is necessary to protect a child from significant harm.  </w:t>
      </w:r>
    </w:p>
    <w:p w14:paraId="308A9FD9" w14:textId="45B39E84" w:rsidR="002775BE" w:rsidRDefault="002775BE" w:rsidP="002775BE">
      <w:pPr>
        <w:rPr>
          <w:rFonts w:ascii="Arial" w:hAnsi="Arial" w:cs="Arial"/>
        </w:rPr>
      </w:pPr>
      <w:r w:rsidRPr="002775BE">
        <w:rPr>
          <w:rFonts w:ascii="Arial" w:hAnsi="Arial" w:cs="Arial"/>
        </w:rPr>
        <w:t xml:space="preserve">Patient confidentiality is an important aspect of maintaining trust between clinicians and patients and no clinician wants to leave themselves open to an accusation of having potentially breached confidentiality by disclosing information that is not acted upon.  </w:t>
      </w:r>
      <w:r w:rsidR="004D529D">
        <w:rPr>
          <w:rFonts w:ascii="Arial" w:hAnsi="Arial" w:cs="Arial"/>
        </w:rPr>
        <w:t xml:space="preserve">All practitioners need to feel confident and willing </w:t>
      </w:r>
      <w:r w:rsidRPr="002775BE">
        <w:rPr>
          <w:rFonts w:ascii="Arial" w:hAnsi="Arial" w:cs="Arial"/>
        </w:rPr>
        <w:t xml:space="preserve">to share the intelligence they have gathered about a child or a family - in order to help </w:t>
      </w:r>
      <w:r w:rsidR="004D529D">
        <w:rPr>
          <w:rFonts w:ascii="Arial" w:hAnsi="Arial" w:cs="Arial"/>
        </w:rPr>
        <w:t xml:space="preserve">the school nurses, </w:t>
      </w:r>
      <w:r w:rsidRPr="002775BE">
        <w:rPr>
          <w:rFonts w:ascii="Arial" w:hAnsi="Arial" w:cs="Arial"/>
        </w:rPr>
        <w:t>GPs and other staff to establish whether the information they hold is a key part of the jigsaw and there is a clear public interest in disclosing it to protect a child from harm.</w:t>
      </w:r>
    </w:p>
    <w:p w14:paraId="6A97BD92" w14:textId="42D4CDA7" w:rsidR="004D529D" w:rsidRDefault="004D529D" w:rsidP="00C23ACC">
      <w:pPr>
        <w:rPr>
          <w:rFonts w:ascii="Arial" w:hAnsi="Arial" w:cs="Arial"/>
        </w:rPr>
      </w:pPr>
      <w:r>
        <w:rPr>
          <w:rFonts w:ascii="Arial" w:hAnsi="Arial" w:cs="Arial"/>
        </w:rPr>
        <w:t xml:space="preserve">The healthcare system has implemented the Child Protection Information System (CPIS) for those most vulnerable children on a child protection plan (including a few unborn children) and/ or a looked after child plan through the Local Authority Director of Childrens Services. It is therefore critical all clinical staff prioritise sharing data on these children. </w:t>
      </w:r>
    </w:p>
    <w:p w14:paraId="45B1B85B" w14:textId="0077F3A1" w:rsidR="004D529D" w:rsidRDefault="004D529D" w:rsidP="00C23ACC">
      <w:pPr>
        <w:rPr>
          <w:rFonts w:ascii="Arial" w:hAnsi="Arial" w:cs="Arial"/>
        </w:rPr>
      </w:pPr>
      <w:hyperlink r:id="rId6" w:history="1">
        <w:r w:rsidRPr="004D529D">
          <w:rPr>
            <w:rStyle w:val="Hyperlink"/>
            <w:rFonts w:ascii="Arial" w:hAnsi="Arial" w:cs="Arial"/>
          </w:rPr>
          <w:t>The Working Together Reforms August 2018</w:t>
        </w:r>
      </w:hyperlink>
      <w:r>
        <w:rPr>
          <w:rFonts w:ascii="Arial" w:hAnsi="Arial" w:cs="Arial"/>
        </w:rPr>
        <w:t xml:space="preserve"> gave us a statutory requirement to share across our partnership of healthcare, social services, and policing. </w:t>
      </w:r>
    </w:p>
    <w:p w14:paraId="0E154CB0" w14:textId="11CA5084" w:rsidR="00C23ACC" w:rsidRPr="002775BE" w:rsidRDefault="004D529D" w:rsidP="00C23ACC">
      <w:pPr>
        <w:rPr>
          <w:rFonts w:ascii="Arial" w:hAnsi="Arial" w:cs="Arial"/>
        </w:rPr>
      </w:pPr>
      <w:hyperlink r:id="rId7" w:history="1">
        <w:r w:rsidRPr="004D529D">
          <w:rPr>
            <w:rStyle w:val="Hyperlink"/>
            <w:rFonts w:ascii="Arial" w:hAnsi="Arial" w:cs="Arial"/>
          </w:rPr>
          <w:t>Data Protection Act 2018</w:t>
        </w:r>
      </w:hyperlink>
      <w:r>
        <w:rPr>
          <w:rFonts w:ascii="Arial" w:hAnsi="Arial" w:cs="Arial"/>
        </w:rPr>
        <w:t xml:space="preserve">, </w:t>
      </w:r>
      <w:r w:rsidR="00C23ACC" w:rsidRPr="002775BE">
        <w:rPr>
          <w:rFonts w:ascii="Arial" w:hAnsi="Arial" w:cs="Arial"/>
        </w:rPr>
        <w:t xml:space="preserve">sets out six key data protection principles which apply to </w:t>
      </w:r>
      <w:r w:rsidR="008647D6" w:rsidRPr="002775BE">
        <w:rPr>
          <w:rFonts w:ascii="Arial" w:hAnsi="Arial" w:cs="Arial"/>
        </w:rPr>
        <w:t>s</w:t>
      </w:r>
      <w:r w:rsidR="00C23ACC" w:rsidRPr="002775BE">
        <w:rPr>
          <w:rFonts w:ascii="Arial" w:hAnsi="Arial" w:cs="Arial"/>
        </w:rPr>
        <w:t>afeguarding or law enforcement data processing by a competent authority i.e.:</w:t>
      </w:r>
    </w:p>
    <w:p w14:paraId="622BB734" w14:textId="318D0B2A" w:rsidR="00C23ACC" w:rsidRPr="002775BE" w:rsidRDefault="00C23ACC" w:rsidP="008647D6">
      <w:pPr>
        <w:pStyle w:val="ListParagraph"/>
        <w:numPr>
          <w:ilvl w:val="0"/>
          <w:numId w:val="1"/>
        </w:numPr>
        <w:rPr>
          <w:rFonts w:ascii="Arial" w:hAnsi="Arial" w:cs="Arial"/>
        </w:rPr>
      </w:pPr>
      <w:r w:rsidRPr="002775BE">
        <w:rPr>
          <w:rFonts w:ascii="Arial" w:hAnsi="Arial" w:cs="Arial"/>
        </w:rPr>
        <w:t xml:space="preserve">processing must be lawful and </w:t>
      </w:r>
      <w:proofErr w:type="gramStart"/>
      <w:r w:rsidRPr="002775BE">
        <w:rPr>
          <w:rFonts w:ascii="Arial" w:hAnsi="Arial" w:cs="Arial"/>
        </w:rPr>
        <w:t>fair;</w:t>
      </w:r>
      <w:proofErr w:type="gramEnd"/>
    </w:p>
    <w:p w14:paraId="69538DBA" w14:textId="0AF21890" w:rsidR="00C23ACC" w:rsidRPr="002775BE" w:rsidRDefault="00C23ACC" w:rsidP="008647D6">
      <w:pPr>
        <w:pStyle w:val="ListParagraph"/>
        <w:numPr>
          <w:ilvl w:val="0"/>
          <w:numId w:val="1"/>
        </w:numPr>
        <w:rPr>
          <w:rFonts w:ascii="Arial" w:hAnsi="Arial" w:cs="Arial"/>
        </w:rPr>
      </w:pPr>
      <w:r w:rsidRPr="002775BE">
        <w:rPr>
          <w:rFonts w:ascii="Arial" w:hAnsi="Arial" w:cs="Arial"/>
        </w:rPr>
        <w:t xml:space="preserve">the purposes of processing must be specified, explicit and </w:t>
      </w:r>
      <w:proofErr w:type="gramStart"/>
      <w:r w:rsidRPr="002775BE">
        <w:rPr>
          <w:rFonts w:ascii="Arial" w:hAnsi="Arial" w:cs="Arial"/>
        </w:rPr>
        <w:t>legitimate;</w:t>
      </w:r>
      <w:proofErr w:type="gramEnd"/>
      <w:r w:rsidRPr="002775BE">
        <w:rPr>
          <w:rFonts w:ascii="Arial" w:hAnsi="Arial" w:cs="Arial"/>
        </w:rPr>
        <w:t xml:space="preserve"> </w:t>
      </w:r>
    </w:p>
    <w:p w14:paraId="45710DC2" w14:textId="04A4F8AD" w:rsidR="00C23ACC" w:rsidRPr="002775BE" w:rsidRDefault="00C23ACC" w:rsidP="008647D6">
      <w:pPr>
        <w:pStyle w:val="ListParagraph"/>
        <w:numPr>
          <w:ilvl w:val="0"/>
          <w:numId w:val="1"/>
        </w:numPr>
        <w:rPr>
          <w:rFonts w:ascii="Arial" w:hAnsi="Arial" w:cs="Arial"/>
        </w:rPr>
      </w:pPr>
      <w:r w:rsidRPr="002775BE">
        <w:rPr>
          <w:rFonts w:ascii="Arial" w:hAnsi="Arial" w:cs="Arial"/>
        </w:rPr>
        <w:t xml:space="preserve">personal data must be adequate, relevant and not </w:t>
      </w:r>
      <w:proofErr w:type="gramStart"/>
      <w:r w:rsidRPr="002775BE">
        <w:rPr>
          <w:rFonts w:ascii="Arial" w:hAnsi="Arial" w:cs="Arial"/>
        </w:rPr>
        <w:t>excessive;</w:t>
      </w:r>
      <w:proofErr w:type="gramEnd"/>
      <w:r w:rsidRPr="002775BE">
        <w:rPr>
          <w:rFonts w:ascii="Arial" w:hAnsi="Arial" w:cs="Arial"/>
        </w:rPr>
        <w:t xml:space="preserve"> </w:t>
      </w:r>
    </w:p>
    <w:p w14:paraId="1D29A89D" w14:textId="47E4A657" w:rsidR="00C23ACC" w:rsidRPr="002775BE" w:rsidRDefault="00C23ACC" w:rsidP="008647D6">
      <w:pPr>
        <w:pStyle w:val="ListParagraph"/>
        <w:numPr>
          <w:ilvl w:val="0"/>
          <w:numId w:val="1"/>
        </w:numPr>
        <w:rPr>
          <w:rFonts w:ascii="Arial" w:hAnsi="Arial" w:cs="Arial"/>
        </w:rPr>
      </w:pPr>
      <w:r w:rsidRPr="002775BE">
        <w:rPr>
          <w:rFonts w:ascii="Arial" w:hAnsi="Arial" w:cs="Arial"/>
        </w:rPr>
        <w:t xml:space="preserve">personal data must be accurate and kept up to </w:t>
      </w:r>
      <w:proofErr w:type="gramStart"/>
      <w:r w:rsidRPr="002775BE">
        <w:rPr>
          <w:rFonts w:ascii="Arial" w:hAnsi="Arial" w:cs="Arial"/>
        </w:rPr>
        <w:t>date;</w:t>
      </w:r>
      <w:proofErr w:type="gramEnd"/>
      <w:r w:rsidRPr="002775BE">
        <w:rPr>
          <w:rFonts w:ascii="Arial" w:hAnsi="Arial" w:cs="Arial"/>
        </w:rPr>
        <w:t xml:space="preserve"> </w:t>
      </w:r>
    </w:p>
    <w:p w14:paraId="62366068" w14:textId="29CE38DD" w:rsidR="00C23ACC" w:rsidRPr="002775BE" w:rsidRDefault="00C23ACC" w:rsidP="008647D6">
      <w:pPr>
        <w:pStyle w:val="ListParagraph"/>
        <w:numPr>
          <w:ilvl w:val="0"/>
          <w:numId w:val="1"/>
        </w:numPr>
        <w:rPr>
          <w:rFonts w:ascii="Arial" w:hAnsi="Arial" w:cs="Arial"/>
        </w:rPr>
      </w:pPr>
      <w:r w:rsidRPr="002775BE">
        <w:rPr>
          <w:rFonts w:ascii="Arial" w:hAnsi="Arial" w:cs="Arial"/>
        </w:rPr>
        <w:t xml:space="preserve">personal data must be kept no longer than is necessary; and </w:t>
      </w:r>
    </w:p>
    <w:p w14:paraId="5B1D59A9" w14:textId="67684748" w:rsidR="00C23ACC" w:rsidRPr="002775BE" w:rsidRDefault="00C23ACC" w:rsidP="008647D6">
      <w:pPr>
        <w:pStyle w:val="ListParagraph"/>
        <w:numPr>
          <w:ilvl w:val="0"/>
          <w:numId w:val="1"/>
        </w:numPr>
        <w:rPr>
          <w:rFonts w:ascii="Arial" w:hAnsi="Arial" w:cs="Arial"/>
        </w:rPr>
      </w:pPr>
      <w:r w:rsidRPr="002775BE">
        <w:rPr>
          <w:rFonts w:ascii="Arial" w:hAnsi="Arial" w:cs="Arial"/>
        </w:rPr>
        <w:t>personal data must be processed in a secure manner.</w:t>
      </w:r>
    </w:p>
    <w:p w14:paraId="12FB40A1" w14:textId="58EDFAAA" w:rsidR="00C23ACC" w:rsidRPr="002775BE" w:rsidRDefault="00C23ACC" w:rsidP="00C23ACC">
      <w:pPr>
        <w:rPr>
          <w:rFonts w:ascii="Arial" w:hAnsi="Arial" w:cs="Arial"/>
        </w:rPr>
      </w:pPr>
      <w:r w:rsidRPr="002775BE">
        <w:rPr>
          <w:rFonts w:ascii="Arial" w:hAnsi="Arial" w:cs="Arial"/>
        </w:rPr>
        <w:t xml:space="preserve">NHS </w:t>
      </w:r>
      <w:r w:rsidR="008647D6" w:rsidRPr="002775BE">
        <w:rPr>
          <w:rFonts w:ascii="Arial" w:hAnsi="Arial" w:cs="Arial"/>
        </w:rPr>
        <w:t xml:space="preserve">and health </w:t>
      </w:r>
      <w:r w:rsidRPr="002775BE">
        <w:rPr>
          <w:rFonts w:ascii="Arial" w:hAnsi="Arial" w:cs="Arial"/>
        </w:rPr>
        <w:t xml:space="preserve">staff will always seek patient's consent to share their personal </w:t>
      </w:r>
      <w:r w:rsidR="008647D6" w:rsidRPr="002775BE">
        <w:rPr>
          <w:rFonts w:ascii="Arial" w:hAnsi="Arial" w:cs="Arial"/>
        </w:rPr>
        <w:t xml:space="preserve">clinical </w:t>
      </w:r>
      <w:r w:rsidRPr="002775BE">
        <w:rPr>
          <w:rFonts w:ascii="Arial" w:hAnsi="Arial" w:cs="Arial"/>
        </w:rPr>
        <w:t xml:space="preserve">data. However, staff are also aware that there are times when it is essential to share personal information to safeguard individuals or others from harm, and where it is appropriate to do so without patient consent. This is described as the </w:t>
      </w:r>
      <w:r w:rsidRPr="00D83EAF">
        <w:rPr>
          <w:rFonts w:ascii="Arial" w:hAnsi="Arial" w:cs="Arial"/>
          <w:b/>
          <w:bCs/>
        </w:rPr>
        <w:t>‘public interest’</w:t>
      </w:r>
      <w:r w:rsidRPr="002775BE">
        <w:rPr>
          <w:rFonts w:ascii="Arial" w:hAnsi="Arial" w:cs="Arial"/>
        </w:rPr>
        <w:t xml:space="preserve"> argument in favour of disclosure. If consent cannot be obtained or isn’t operationally appropriate, you must provide a legitimate reason in your disclosure request proforma and describe the public interest in favour of disclosu</w:t>
      </w:r>
      <w:r w:rsidRPr="002775BE">
        <w:rPr>
          <w:rFonts w:ascii="Arial" w:hAnsi="Arial" w:cs="Arial"/>
        </w:rPr>
        <w:t xml:space="preserve">re </w:t>
      </w:r>
      <w:proofErr w:type="gramStart"/>
      <w:r w:rsidRPr="002775BE">
        <w:rPr>
          <w:rFonts w:ascii="Arial" w:hAnsi="Arial" w:cs="Arial"/>
        </w:rPr>
        <w:t>in order to</w:t>
      </w:r>
      <w:proofErr w:type="gramEnd"/>
      <w:r w:rsidRPr="002775BE">
        <w:rPr>
          <w:rFonts w:ascii="Arial" w:hAnsi="Arial" w:cs="Arial"/>
        </w:rPr>
        <w:t xml:space="preserve"> receive the requested data</w:t>
      </w:r>
      <w:r w:rsidR="00D83EAF">
        <w:rPr>
          <w:rFonts w:ascii="Arial" w:hAnsi="Arial" w:cs="Arial"/>
        </w:rPr>
        <w:t xml:space="preserve">. </w:t>
      </w:r>
      <w:r w:rsidRPr="002775BE">
        <w:rPr>
          <w:rFonts w:ascii="Arial" w:hAnsi="Arial" w:cs="Arial"/>
        </w:rPr>
        <w:t xml:space="preserve">  </w:t>
      </w:r>
    </w:p>
    <w:p w14:paraId="5D14BED6" w14:textId="09327CCE" w:rsidR="00C23ACC" w:rsidRPr="002775BE" w:rsidRDefault="00C23ACC" w:rsidP="00C23ACC">
      <w:pPr>
        <w:rPr>
          <w:rFonts w:ascii="Arial" w:hAnsi="Arial" w:cs="Arial"/>
        </w:rPr>
      </w:pPr>
      <w:r w:rsidRPr="002775BE">
        <w:rPr>
          <w:rFonts w:ascii="Arial" w:hAnsi="Arial" w:cs="Arial"/>
        </w:rPr>
        <w:t xml:space="preserve">To avoid delays in receiving personal data for </w:t>
      </w:r>
      <w:r w:rsidRPr="002775BE">
        <w:rPr>
          <w:rFonts w:ascii="Arial" w:hAnsi="Arial" w:cs="Arial"/>
        </w:rPr>
        <w:t xml:space="preserve">safeguarding </w:t>
      </w:r>
      <w:r w:rsidRPr="002775BE">
        <w:rPr>
          <w:rFonts w:ascii="Arial" w:hAnsi="Arial" w:cs="Arial"/>
        </w:rPr>
        <w:t>purposes please ensure the data request meets the following:</w:t>
      </w:r>
    </w:p>
    <w:p w14:paraId="4CAC3563" w14:textId="2687B5F7" w:rsidR="00C23ACC" w:rsidRPr="002775BE" w:rsidRDefault="00C23ACC" w:rsidP="008647D6">
      <w:pPr>
        <w:pStyle w:val="ListParagraph"/>
        <w:numPr>
          <w:ilvl w:val="0"/>
          <w:numId w:val="2"/>
        </w:numPr>
        <w:rPr>
          <w:rFonts w:ascii="Arial" w:hAnsi="Arial" w:cs="Arial"/>
        </w:rPr>
      </w:pPr>
      <w:r w:rsidRPr="002775BE">
        <w:rPr>
          <w:rFonts w:ascii="Arial" w:hAnsi="Arial" w:cs="Arial"/>
        </w:rPr>
        <w:t>Always use appropriate official disclosure request</w:t>
      </w:r>
      <w:r w:rsidRPr="002775BE">
        <w:rPr>
          <w:rFonts w:ascii="Arial" w:hAnsi="Arial" w:cs="Arial"/>
        </w:rPr>
        <w:t xml:space="preserve"> </w:t>
      </w:r>
      <w:r w:rsidRPr="002775BE">
        <w:rPr>
          <w:rFonts w:ascii="Arial" w:hAnsi="Arial" w:cs="Arial"/>
        </w:rPr>
        <w:t>proforma sanctioned by your</w:t>
      </w:r>
      <w:r w:rsidRPr="002775BE">
        <w:rPr>
          <w:rFonts w:ascii="Arial" w:hAnsi="Arial" w:cs="Arial"/>
        </w:rPr>
        <w:t xml:space="preserve"> </w:t>
      </w:r>
      <w:r w:rsidRPr="002775BE">
        <w:rPr>
          <w:rFonts w:ascii="Arial" w:hAnsi="Arial" w:cs="Arial"/>
        </w:rPr>
        <w:t>organisation.</w:t>
      </w:r>
    </w:p>
    <w:p w14:paraId="7259D732" w14:textId="3F5C88EA" w:rsidR="00C23ACC" w:rsidRPr="002775BE" w:rsidRDefault="00C23ACC" w:rsidP="008647D6">
      <w:pPr>
        <w:pStyle w:val="ListParagraph"/>
        <w:numPr>
          <w:ilvl w:val="0"/>
          <w:numId w:val="2"/>
        </w:numPr>
        <w:rPr>
          <w:rFonts w:ascii="Arial" w:hAnsi="Arial" w:cs="Arial"/>
        </w:rPr>
      </w:pPr>
      <w:r w:rsidRPr="002775BE">
        <w:rPr>
          <w:rFonts w:ascii="Arial" w:hAnsi="Arial" w:cs="Arial"/>
        </w:rPr>
        <w:t>Always send request through secure protectively marked</w:t>
      </w:r>
      <w:r w:rsidRPr="002775BE">
        <w:rPr>
          <w:rFonts w:ascii="Arial" w:hAnsi="Arial" w:cs="Arial"/>
        </w:rPr>
        <w:t xml:space="preserve"> </w:t>
      </w:r>
      <w:r w:rsidRPr="002775BE">
        <w:rPr>
          <w:rFonts w:ascii="Arial" w:hAnsi="Arial" w:cs="Arial"/>
        </w:rPr>
        <w:t>email.</w:t>
      </w:r>
    </w:p>
    <w:p w14:paraId="7D3B6E4B" w14:textId="5BFD5E16" w:rsidR="00C23ACC" w:rsidRPr="002775BE" w:rsidRDefault="00C23ACC" w:rsidP="008647D6">
      <w:pPr>
        <w:pStyle w:val="ListParagraph"/>
        <w:numPr>
          <w:ilvl w:val="0"/>
          <w:numId w:val="2"/>
        </w:numPr>
        <w:rPr>
          <w:rFonts w:ascii="Arial" w:hAnsi="Arial" w:cs="Arial"/>
        </w:rPr>
      </w:pPr>
      <w:r w:rsidRPr="002775BE">
        <w:rPr>
          <w:rFonts w:ascii="Arial" w:hAnsi="Arial" w:cs="Arial"/>
        </w:rPr>
        <w:t xml:space="preserve">Always provide clarification on </w:t>
      </w:r>
      <w:proofErr w:type="gramStart"/>
      <w:r w:rsidRPr="002775BE">
        <w:rPr>
          <w:rFonts w:ascii="Arial" w:hAnsi="Arial" w:cs="Arial"/>
        </w:rPr>
        <w:t>whether or not</w:t>
      </w:r>
      <w:proofErr w:type="gramEnd"/>
      <w:r w:rsidRPr="002775BE">
        <w:rPr>
          <w:rFonts w:ascii="Arial" w:hAnsi="Arial" w:cs="Arial"/>
        </w:rPr>
        <w:t xml:space="preserve"> consent</w:t>
      </w:r>
      <w:r w:rsidRPr="002775BE">
        <w:rPr>
          <w:rFonts w:ascii="Arial" w:hAnsi="Arial" w:cs="Arial"/>
        </w:rPr>
        <w:t xml:space="preserve"> </w:t>
      </w:r>
      <w:r w:rsidRPr="002775BE">
        <w:rPr>
          <w:rFonts w:ascii="Arial" w:hAnsi="Arial" w:cs="Arial"/>
        </w:rPr>
        <w:t>has been sought.</w:t>
      </w:r>
    </w:p>
    <w:p w14:paraId="0A1A941B" w14:textId="1204D04F" w:rsidR="00C23ACC" w:rsidRPr="002775BE" w:rsidRDefault="00C23ACC" w:rsidP="008647D6">
      <w:pPr>
        <w:pStyle w:val="ListParagraph"/>
        <w:numPr>
          <w:ilvl w:val="0"/>
          <w:numId w:val="2"/>
        </w:numPr>
        <w:rPr>
          <w:rFonts w:ascii="Arial" w:hAnsi="Arial" w:cs="Arial"/>
        </w:rPr>
      </w:pPr>
      <w:r w:rsidRPr="002775BE">
        <w:rPr>
          <w:rFonts w:ascii="Arial" w:hAnsi="Arial" w:cs="Arial"/>
        </w:rPr>
        <w:t>If consent is not obtained, a legitimate reason or ‘form of</w:t>
      </w:r>
      <w:r w:rsidRPr="002775BE">
        <w:rPr>
          <w:rFonts w:ascii="Arial" w:hAnsi="Arial" w:cs="Arial"/>
        </w:rPr>
        <w:t xml:space="preserve"> </w:t>
      </w:r>
      <w:r w:rsidRPr="002775BE">
        <w:rPr>
          <w:rFonts w:ascii="Arial" w:hAnsi="Arial" w:cs="Arial"/>
        </w:rPr>
        <w:t xml:space="preserve">words’ must be provided to legally </w:t>
      </w:r>
      <w:r w:rsidR="008647D6" w:rsidRPr="002775BE">
        <w:rPr>
          <w:rFonts w:ascii="Arial" w:hAnsi="Arial" w:cs="Arial"/>
        </w:rPr>
        <w:t>j</w:t>
      </w:r>
      <w:r w:rsidRPr="002775BE">
        <w:rPr>
          <w:rFonts w:ascii="Arial" w:hAnsi="Arial" w:cs="Arial"/>
        </w:rPr>
        <w:t>ustify access</w:t>
      </w:r>
      <w:r w:rsidRPr="002775BE">
        <w:rPr>
          <w:rFonts w:ascii="Arial" w:hAnsi="Arial" w:cs="Arial"/>
        </w:rPr>
        <w:t xml:space="preserve"> </w:t>
      </w:r>
      <w:r w:rsidRPr="002775BE">
        <w:rPr>
          <w:rFonts w:ascii="Arial" w:hAnsi="Arial" w:cs="Arial"/>
        </w:rPr>
        <w:t>patient/service user/staff member’s personal or sensitive</w:t>
      </w:r>
      <w:r w:rsidRPr="002775BE">
        <w:rPr>
          <w:rFonts w:ascii="Arial" w:hAnsi="Arial" w:cs="Arial"/>
        </w:rPr>
        <w:t xml:space="preserve"> </w:t>
      </w:r>
      <w:r w:rsidRPr="002775BE">
        <w:rPr>
          <w:rFonts w:ascii="Arial" w:hAnsi="Arial" w:cs="Arial"/>
        </w:rPr>
        <w:t>information.</w:t>
      </w:r>
    </w:p>
    <w:p w14:paraId="6589E61F" w14:textId="3CB63C00" w:rsidR="00C23ACC" w:rsidRPr="002775BE" w:rsidRDefault="00C23ACC" w:rsidP="008647D6">
      <w:pPr>
        <w:pStyle w:val="ListParagraph"/>
        <w:numPr>
          <w:ilvl w:val="0"/>
          <w:numId w:val="2"/>
        </w:numPr>
        <w:rPr>
          <w:rFonts w:ascii="Arial" w:hAnsi="Arial" w:cs="Arial"/>
        </w:rPr>
      </w:pPr>
      <w:r w:rsidRPr="002775BE">
        <w:rPr>
          <w:rFonts w:ascii="Arial" w:hAnsi="Arial" w:cs="Arial"/>
        </w:rPr>
        <w:t>Ensure that permissible powers and legal exemptions are</w:t>
      </w:r>
      <w:r w:rsidRPr="002775BE">
        <w:rPr>
          <w:rFonts w:ascii="Arial" w:hAnsi="Arial" w:cs="Arial"/>
        </w:rPr>
        <w:t xml:space="preserve"> </w:t>
      </w:r>
      <w:r w:rsidRPr="002775BE">
        <w:rPr>
          <w:rFonts w:ascii="Arial" w:hAnsi="Arial" w:cs="Arial"/>
        </w:rPr>
        <w:t>being relied upon to share o</w:t>
      </w:r>
      <w:r w:rsidR="00D83EAF">
        <w:rPr>
          <w:rFonts w:ascii="Arial" w:hAnsi="Arial" w:cs="Arial"/>
        </w:rPr>
        <w:t>r</w:t>
      </w:r>
      <w:r w:rsidR="008647D6" w:rsidRPr="002775BE">
        <w:rPr>
          <w:rFonts w:ascii="Arial" w:hAnsi="Arial" w:cs="Arial"/>
        </w:rPr>
        <w:t xml:space="preserve"> p</w:t>
      </w:r>
      <w:r w:rsidRPr="002775BE">
        <w:rPr>
          <w:rFonts w:ascii="Arial" w:hAnsi="Arial" w:cs="Arial"/>
        </w:rPr>
        <w:t>rocess personal data.</w:t>
      </w:r>
    </w:p>
    <w:p w14:paraId="0FA94FE7" w14:textId="77777777" w:rsidR="004C2325" w:rsidRDefault="00C23ACC" w:rsidP="00C34545">
      <w:pPr>
        <w:pStyle w:val="ListParagraph"/>
        <w:numPr>
          <w:ilvl w:val="0"/>
          <w:numId w:val="2"/>
        </w:numPr>
        <w:rPr>
          <w:rFonts w:ascii="Arial" w:hAnsi="Arial" w:cs="Arial"/>
        </w:rPr>
      </w:pPr>
      <w:r w:rsidRPr="004C2325">
        <w:rPr>
          <w:rFonts w:ascii="Arial" w:hAnsi="Arial" w:cs="Arial"/>
        </w:rPr>
        <w:t>Always clearly explain in writing what specific/relevant</w:t>
      </w:r>
      <w:r w:rsidRPr="004C2325">
        <w:rPr>
          <w:rFonts w:ascii="Arial" w:hAnsi="Arial" w:cs="Arial"/>
        </w:rPr>
        <w:t xml:space="preserve"> </w:t>
      </w:r>
      <w:r w:rsidRPr="004C2325">
        <w:rPr>
          <w:rFonts w:ascii="Arial" w:hAnsi="Arial" w:cs="Arial"/>
        </w:rPr>
        <w:t>information is required from the patient/service</w:t>
      </w:r>
      <w:r w:rsidRPr="004C2325">
        <w:rPr>
          <w:rFonts w:ascii="Arial" w:hAnsi="Arial" w:cs="Arial"/>
        </w:rPr>
        <w:t xml:space="preserve"> </w:t>
      </w:r>
      <w:r w:rsidRPr="004C2325">
        <w:rPr>
          <w:rFonts w:ascii="Arial" w:hAnsi="Arial" w:cs="Arial"/>
        </w:rPr>
        <w:t>user/staff member record to assist with the case</w:t>
      </w:r>
      <w:r w:rsidRPr="004C2325">
        <w:rPr>
          <w:rFonts w:ascii="Arial" w:hAnsi="Arial" w:cs="Arial"/>
        </w:rPr>
        <w:t xml:space="preserve"> </w:t>
      </w:r>
      <w:r w:rsidRPr="004C2325">
        <w:rPr>
          <w:rFonts w:ascii="Arial" w:hAnsi="Arial" w:cs="Arial"/>
        </w:rPr>
        <w:t>management of the individual in question. If the request</w:t>
      </w:r>
      <w:r w:rsidRPr="004C2325">
        <w:rPr>
          <w:rFonts w:ascii="Arial" w:hAnsi="Arial" w:cs="Arial"/>
        </w:rPr>
        <w:t xml:space="preserve"> </w:t>
      </w:r>
      <w:r w:rsidRPr="004C2325">
        <w:rPr>
          <w:rFonts w:ascii="Arial" w:hAnsi="Arial" w:cs="Arial"/>
        </w:rPr>
        <w:t>is not specific – NHS staff will ask for further clarity</w:t>
      </w:r>
      <w:r w:rsidRPr="004C2325">
        <w:rPr>
          <w:rFonts w:ascii="Arial" w:hAnsi="Arial" w:cs="Arial"/>
        </w:rPr>
        <w:cr/>
      </w:r>
    </w:p>
    <w:p w14:paraId="3C6C5A89" w14:textId="2EE005AC" w:rsidR="00D83EAF" w:rsidRDefault="004C2325" w:rsidP="004C2325">
      <w:pPr>
        <w:ind w:left="360"/>
        <w:rPr>
          <w:rFonts w:ascii="Arial" w:hAnsi="Arial" w:cs="Arial"/>
        </w:rPr>
      </w:pPr>
      <w:r>
        <w:rPr>
          <w:rFonts w:ascii="Arial" w:hAnsi="Arial" w:cs="Arial"/>
        </w:rPr>
        <w:lastRenderedPageBreak/>
        <w:t xml:space="preserve">Practitioners </w:t>
      </w:r>
      <w:r w:rsidR="00D83EAF" w:rsidRPr="004C2325">
        <w:rPr>
          <w:rFonts w:ascii="Arial" w:hAnsi="Arial" w:cs="Arial"/>
        </w:rPr>
        <w:t xml:space="preserve">may also seek consent and then, if the patient declines as is their right, then </w:t>
      </w:r>
      <w:r>
        <w:rPr>
          <w:rFonts w:ascii="Arial" w:hAnsi="Arial" w:cs="Arial"/>
        </w:rPr>
        <w:t xml:space="preserve">the practitioner </w:t>
      </w:r>
      <w:r w:rsidR="00D83EAF" w:rsidRPr="004C2325">
        <w:rPr>
          <w:rFonts w:ascii="Arial" w:hAnsi="Arial" w:cs="Arial"/>
        </w:rPr>
        <w:t xml:space="preserve">might discuss with a senior colleague whether you use your </w:t>
      </w:r>
      <w:r>
        <w:rPr>
          <w:rFonts w:ascii="Arial" w:hAnsi="Arial" w:cs="Arial"/>
        </w:rPr>
        <w:t xml:space="preserve">professional duty of care and </w:t>
      </w:r>
      <w:r w:rsidR="00D83EAF" w:rsidRPr="004C2325">
        <w:rPr>
          <w:rFonts w:ascii="Arial" w:hAnsi="Arial" w:cs="Arial"/>
        </w:rPr>
        <w:t xml:space="preserve">clinical prerogative to decide </w:t>
      </w:r>
      <w:r w:rsidRPr="004C2325">
        <w:rPr>
          <w:rFonts w:ascii="Arial" w:hAnsi="Arial" w:cs="Arial"/>
        </w:rPr>
        <w:t>to share limited amount of data securely with another part of the safeguarding system which might protect the child from neglect, harm, abuse, exploitation, violence or death.</w:t>
      </w:r>
    </w:p>
    <w:p w14:paraId="5060BDC2" w14:textId="3FF17548" w:rsidR="002F2EA5" w:rsidRDefault="002F2EA5" w:rsidP="004C2325">
      <w:pPr>
        <w:ind w:left="360"/>
        <w:rPr>
          <w:rFonts w:ascii="Arial" w:hAnsi="Arial" w:cs="Arial"/>
        </w:rPr>
      </w:pPr>
      <w:r>
        <w:rPr>
          <w:rFonts w:ascii="Arial" w:hAnsi="Arial" w:cs="Arial"/>
        </w:rPr>
        <w:t>In summary, there is no</w:t>
      </w:r>
      <w:r w:rsidR="008E1603">
        <w:rPr>
          <w:rFonts w:ascii="Arial" w:hAnsi="Arial" w:cs="Arial"/>
        </w:rPr>
        <w:t xml:space="preserve"> UK</w:t>
      </w:r>
      <w:r>
        <w:rPr>
          <w:rFonts w:ascii="Arial" w:hAnsi="Arial" w:cs="Arial"/>
        </w:rPr>
        <w:t xml:space="preserve"> law which states </w:t>
      </w:r>
      <w:r w:rsidR="008E1603">
        <w:rPr>
          <w:rFonts w:ascii="Arial" w:hAnsi="Arial" w:cs="Arial"/>
        </w:rPr>
        <w:t xml:space="preserve">clinical teams caring for school-aged children cannot securely and lawfully share data between themselves. </w:t>
      </w:r>
    </w:p>
    <w:p w14:paraId="427E4433" w14:textId="061A8FFD" w:rsidR="008E1603" w:rsidRPr="00D83EAF" w:rsidRDefault="008E1603" w:rsidP="004C2325">
      <w:pPr>
        <w:ind w:left="360"/>
        <w:rPr>
          <w:rFonts w:ascii="Arial" w:hAnsi="Arial" w:cs="Arial"/>
        </w:rPr>
      </w:pPr>
      <w:r>
        <w:rPr>
          <w:rFonts w:ascii="Arial" w:hAnsi="Arial" w:cs="Arial"/>
        </w:rPr>
        <w:t>We can, we will, we must share data if that information prevents safeguarding moments in any child’s life.</w:t>
      </w:r>
    </w:p>
    <w:p w14:paraId="0DA4834A" w14:textId="46A6425D" w:rsidR="00D83EAF" w:rsidRDefault="00D83EAF" w:rsidP="004C2325">
      <w:pPr>
        <w:jc w:val="center"/>
        <w:rPr>
          <w:rFonts w:ascii="Arial" w:hAnsi="Arial" w:cs="Arial"/>
        </w:rPr>
      </w:pPr>
      <w:r w:rsidRPr="00D83EAF">
        <w:rPr>
          <w:rFonts w:ascii="Arial" w:hAnsi="Arial" w:cs="Arial"/>
        </w:rPr>
        <w:drawing>
          <wp:inline distT="0" distB="0" distL="0" distR="0" wp14:anchorId="734CCA11" wp14:editId="52FB9FCE">
            <wp:extent cx="5950967" cy="3331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69564" cy="3397413"/>
                    </a:xfrm>
                    <a:prstGeom prst="rect">
                      <a:avLst/>
                    </a:prstGeom>
                  </pic:spPr>
                </pic:pic>
              </a:graphicData>
            </a:graphic>
          </wp:inline>
        </w:drawing>
      </w:r>
    </w:p>
    <w:p w14:paraId="209D0FBF" w14:textId="71069A29" w:rsidR="004D529D" w:rsidRPr="004C2325" w:rsidRDefault="004D529D" w:rsidP="004D529D">
      <w:pPr>
        <w:rPr>
          <w:rFonts w:ascii="Arial" w:hAnsi="Arial" w:cs="Arial"/>
          <w:b/>
          <w:bCs/>
        </w:rPr>
      </w:pPr>
      <w:r w:rsidRPr="004C2325">
        <w:rPr>
          <w:rFonts w:ascii="Arial" w:hAnsi="Arial" w:cs="Arial"/>
          <w:b/>
          <w:bCs/>
        </w:rPr>
        <w:t xml:space="preserve">Other reading ~ </w:t>
      </w:r>
    </w:p>
    <w:p w14:paraId="209074AB" w14:textId="03B9A63A" w:rsidR="00C23ACC" w:rsidRPr="002F2EA5" w:rsidRDefault="00C23ACC" w:rsidP="00C23ACC">
      <w:pPr>
        <w:rPr>
          <w:rFonts w:ascii="Arial" w:hAnsi="Arial" w:cs="Arial"/>
          <w:sz w:val="16"/>
          <w:szCs w:val="16"/>
        </w:rPr>
      </w:pPr>
      <w:hyperlink r:id="rId9" w:history="1">
        <w:r w:rsidRPr="002F2EA5">
          <w:rPr>
            <w:rStyle w:val="Hyperlink"/>
            <w:rFonts w:ascii="Arial" w:hAnsi="Arial" w:cs="Arial"/>
            <w:sz w:val="16"/>
            <w:szCs w:val="16"/>
          </w:rPr>
          <w:t>Confidentiality: good practice in handling patient information - ethical guidance - GMC (gmc-uk.org)</w:t>
        </w:r>
      </w:hyperlink>
    </w:p>
    <w:p w14:paraId="7A6A0F89" w14:textId="7C2B656A" w:rsidR="008647D6" w:rsidRPr="002F2EA5" w:rsidRDefault="008647D6" w:rsidP="00C23ACC">
      <w:pPr>
        <w:rPr>
          <w:sz w:val="16"/>
          <w:szCs w:val="16"/>
        </w:rPr>
      </w:pPr>
      <w:r w:rsidRPr="002F2EA5">
        <w:rPr>
          <w:rFonts w:ascii="Arial" w:hAnsi="Arial" w:cs="Arial"/>
          <w:sz w:val="16"/>
          <w:szCs w:val="16"/>
        </w:rPr>
        <w:t xml:space="preserve">Section 251 </w:t>
      </w:r>
      <w:hyperlink r:id="rId10" w:history="1">
        <w:r w:rsidRPr="002F2EA5">
          <w:rPr>
            <w:rStyle w:val="Hyperlink"/>
            <w:rFonts w:ascii="Arial" w:hAnsi="Arial" w:cs="Arial"/>
            <w:sz w:val="16"/>
            <w:szCs w:val="16"/>
          </w:rPr>
          <w:t>https://digital.nhs.uk/services/data-access-request-service-dars/how-the-national-data-opt-out-affects-data-released-by-nhs-digital/national-data-opt-out-guidance-for-researchers/4-section-251-and-the-application-of-national-data-opt-outs</w:t>
        </w:r>
      </w:hyperlink>
      <w:r w:rsidRPr="002F2EA5">
        <w:rPr>
          <w:sz w:val="16"/>
          <w:szCs w:val="16"/>
        </w:rPr>
        <w:t xml:space="preserve"> </w:t>
      </w:r>
    </w:p>
    <w:p w14:paraId="7265F4B2" w14:textId="77777777" w:rsidR="00D83EAF" w:rsidRPr="004C2325" w:rsidRDefault="00D83EAF" w:rsidP="00D83EAF">
      <w:pPr>
        <w:rPr>
          <w:rFonts w:ascii="Arial" w:hAnsi="Arial" w:cs="Arial"/>
          <w:sz w:val="16"/>
          <w:szCs w:val="16"/>
        </w:rPr>
      </w:pPr>
      <w:r w:rsidRPr="004C2325">
        <w:rPr>
          <w:rFonts w:ascii="Arial" w:hAnsi="Arial" w:cs="Arial"/>
          <w:b/>
          <w:bCs/>
          <w:sz w:val="16"/>
          <w:szCs w:val="16"/>
        </w:rPr>
        <w:t>NHS Act 2006 Section 251 data sharing exemption</w:t>
      </w:r>
      <w:r w:rsidRPr="004C2325">
        <w:rPr>
          <w:rFonts w:ascii="Arial" w:hAnsi="Arial" w:cs="Arial"/>
          <w:sz w:val="16"/>
          <w:szCs w:val="16"/>
        </w:rPr>
        <w:t xml:space="preserve"> if a clinician thinks someone’s welfare is at risk or life is in danger. </w:t>
      </w:r>
    </w:p>
    <w:p w14:paraId="509165FD" w14:textId="77777777" w:rsidR="00D83EAF" w:rsidRPr="004C2325" w:rsidRDefault="00D83EAF" w:rsidP="00D83EAF">
      <w:pPr>
        <w:pStyle w:val="NormalWeb"/>
        <w:spacing w:before="0" w:beforeAutospacing="0" w:after="0" w:afterAutospacing="0"/>
        <w:rPr>
          <w:rFonts w:ascii="Arial" w:hAnsi="Arial" w:cs="Arial"/>
          <w:sz w:val="16"/>
          <w:szCs w:val="16"/>
        </w:rPr>
      </w:pPr>
      <w:r w:rsidRPr="004C2325">
        <w:rPr>
          <w:rFonts w:ascii="Arial" w:hAnsi="Arial" w:cs="Arial"/>
          <w:b/>
          <w:bCs/>
          <w:sz w:val="16"/>
          <w:szCs w:val="16"/>
          <w:lang w:val="en-US"/>
        </w:rPr>
        <w:t>GDPR</w:t>
      </w:r>
    </w:p>
    <w:p w14:paraId="75026FA7" w14:textId="77777777" w:rsidR="00D83EAF" w:rsidRPr="004C2325" w:rsidRDefault="00D83EAF" w:rsidP="00D83EAF">
      <w:pPr>
        <w:pStyle w:val="NormalWeb"/>
        <w:spacing w:before="0" w:beforeAutospacing="0" w:after="0" w:afterAutospacing="0"/>
        <w:rPr>
          <w:rFonts w:ascii="Arial" w:hAnsi="Arial" w:cs="Arial"/>
          <w:sz w:val="16"/>
          <w:szCs w:val="16"/>
        </w:rPr>
      </w:pPr>
      <w:r w:rsidRPr="004C2325">
        <w:rPr>
          <w:rFonts w:ascii="Arial" w:hAnsi="Arial" w:cs="Arial"/>
          <w:b/>
          <w:bCs/>
          <w:sz w:val="16"/>
          <w:szCs w:val="16"/>
          <w:lang w:val="en-US"/>
        </w:rPr>
        <w:t xml:space="preserve">Article 5 </w:t>
      </w:r>
    </w:p>
    <w:p w14:paraId="79824436" w14:textId="77777777" w:rsidR="00D83EAF" w:rsidRPr="004C2325" w:rsidRDefault="00D83EAF" w:rsidP="00D83EAF">
      <w:pPr>
        <w:pStyle w:val="ListParagraph"/>
        <w:numPr>
          <w:ilvl w:val="0"/>
          <w:numId w:val="3"/>
        </w:numPr>
        <w:spacing w:after="0" w:line="240" w:lineRule="auto"/>
        <w:contextualSpacing w:val="0"/>
        <w:rPr>
          <w:rFonts w:ascii="Arial" w:eastAsia="Times New Roman" w:hAnsi="Arial" w:cs="Arial"/>
          <w:sz w:val="16"/>
          <w:szCs w:val="16"/>
        </w:rPr>
      </w:pPr>
      <w:r w:rsidRPr="004C2325">
        <w:rPr>
          <w:rFonts w:ascii="Arial" w:eastAsia="Times New Roman" w:hAnsi="Arial" w:cs="Arial"/>
          <w:sz w:val="16"/>
          <w:szCs w:val="16"/>
        </w:rPr>
        <w:t xml:space="preserve">Processing data shall be: </w:t>
      </w:r>
    </w:p>
    <w:p w14:paraId="157FD736" w14:textId="77777777" w:rsidR="00D83EAF" w:rsidRPr="004C2325" w:rsidRDefault="00D83EAF" w:rsidP="00D83EAF">
      <w:pPr>
        <w:pStyle w:val="ListParagraph"/>
        <w:numPr>
          <w:ilvl w:val="0"/>
          <w:numId w:val="4"/>
        </w:numPr>
        <w:spacing w:after="0" w:line="240" w:lineRule="auto"/>
        <w:contextualSpacing w:val="0"/>
        <w:rPr>
          <w:rFonts w:ascii="Arial" w:eastAsia="Times New Roman" w:hAnsi="Arial" w:cs="Arial"/>
          <w:sz w:val="16"/>
          <w:szCs w:val="16"/>
        </w:rPr>
      </w:pPr>
      <w:r w:rsidRPr="004C2325">
        <w:rPr>
          <w:rFonts w:ascii="Arial" w:eastAsia="Times New Roman" w:hAnsi="Arial" w:cs="Arial"/>
          <w:sz w:val="16"/>
          <w:szCs w:val="16"/>
        </w:rPr>
        <w:t>Processed lawfully, fairly and in a transparent manner in relation to the data subject</w:t>
      </w:r>
    </w:p>
    <w:p w14:paraId="646FF560" w14:textId="77777777" w:rsidR="00D83EAF" w:rsidRPr="004C2325" w:rsidRDefault="00D83EAF" w:rsidP="00D83EAF">
      <w:pPr>
        <w:pStyle w:val="NormalWeb"/>
        <w:spacing w:before="0" w:beforeAutospacing="0" w:after="0" w:afterAutospacing="0"/>
        <w:rPr>
          <w:rFonts w:ascii="Arial" w:hAnsi="Arial" w:cs="Arial"/>
          <w:sz w:val="16"/>
          <w:szCs w:val="16"/>
        </w:rPr>
      </w:pPr>
      <w:r w:rsidRPr="004C2325">
        <w:rPr>
          <w:rFonts w:ascii="Arial" w:hAnsi="Arial" w:cs="Arial"/>
          <w:sz w:val="16"/>
          <w:szCs w:val="16"/>
          <w:lang w:val="en-US"/>
        </w:rPr>
        <w:t> </w:t>
      </w:r>
    </w:p>
    <w:p w14:paraId="36255E02" w14:textId="77777777" w:rsidR="00D83EAF" w:rsidRPr="004C2325" w:rsidRDefault="00D83EAF" w:rsidP="00D83EAF">
      <w:pPr>
        <w:pStyle w:val="NormalWeb"/>
        <w:spacing w:before="0" w:beforeAutospacing="0" w:after="0" w:afterAutospacing="0"/>
        <w:rPr>
          <w:rFonts w:ascii="Arial" w:hAnsi="Arial" w:cs="Arial"/>
          <w:sz w:val="16"/>
          <w:szCs w:val="16"/>
        </w:rPr>
      </w:pPr>
      <w:r w:rsidRPr="004C2325">
        <w:rPr>
          <w:rFonts w:ascii="Arial" w:hAnsi="Arial" w:cs="Arial"/>
          <w:b/>
          <w:bCs/>
          <w:sz w:val="16"/>
          <w:szCs w:val="16"/>
          <w:lang w:val="en-US"/>
        </w:rPr>
        <w:t>Article 6</w:t>
      </w:r>
    </w:p>
    <w:p w14:paraId="52944F69" w14:textId="77777777" w:rsidR="00D83EAF" w:rsidRPr="004C2325" w:rsidRDefault="00D83EAF" w:rsidP="00D83EAF">
      <w:pPr>
        <w:pStyle w:val="ListParagraph"/>
        <w:numPr>
          <w:ilvl w:val="0"/>
          <w:numId w:val="5"/>
        </w:numPr>
        <w:spacing w:after="0" w:line="240" w:lineRule="auto"/>
        <w:contextualSpacing w:val="0"/>
        <w:rPr>
          <w:rFonts w:ascii="Arial" w:eastAsia="Times New Roman" w:hAnsi="Arial" w:cs="Arial"/>
          <w:sz w:val="16"/>
          <w:szCs w:val="16"/>
        </w:rPr>
      </w:pPr>
      <w:r w:rsidRPr="004C2325">
        <w:rPr>
          <w:rFonts w:ascii="Arial" w:eastAsia="Times New Roman" w:hAnsi="Arial" w:cs="Arial"/>
          <w:sz w:val="16"/>
          <w:szCs w:val="16"/>
        </w:rPr>
        <w:t>Processing shall be lawful only if and to the extent that at least one of the following applies:</w:t>
      </w:r>
    </w:p>
    <w:p w14:paraId="1EB76370" w14:textId="77777777" w:rsidR="00D83EAF" w:rsidRPr="004C2325" w:rsidRDefault="00D83EAF" w:rsidP="00D83EAF">
      <w:pPr>
        <w:pStyle w:val="ListParagraph"/>
        <w:numPr>
          <w:ilvl w:val="0"/>
          <w:numId w:val="6"/>
        </w:numPr>
        <w:spacing w:after="0" w:line="240" w:lineRule="auto"/>
        <w:contextualSpacing w:val="0"/>
        <w:rPr>
          <w:rFonts w:ascii="Arial" w:eastAsia="Times New Roman" w:hAnsi="Arial" w:cs="Arial"/>
          <w:sz w:val="16"/>
          <w:szCs w:val="16"/>
        </w:rPr>
      </w:pPr>
      <w:r w:rsidRPr="004C2325">
        <w:rPr>
          <w:rFonts w:ascii="Arial" w:eastAsia="Times New Roman" w:hAnsi="Arial" w:cs="Arial"/>
          <w:sz w:val="16"/>
          <w:szCs w:val="16"/>
        </w:rPr>
        <w:t>The data subject has given consent to the processing of his or her personal data for one or more specific purposes…</w:t>
      </w:r>
    </w:p>
    <w:p w14:paraId="7C6E6F90" w14:textId="77777777" w:rsidR="00D83EAF" w:rsidRPr="004C2325" w:rsidRDefault="00D83EAF" w:rsidP="00D83EAF">
      <w:pPr>
        <w:pStyle w:val="NormalWeb"/>
        <w:spacing w:before="0" w:beforeAutospacing="0" w:after="0" w:afterAutospacing="0"/>
        <w:ind w:left="720"/>
        <w:rPr>
          <w:rFonts w:ascii="Arial" w:hAnsi="Arial" w:cs="Arial"/>
          <w:sz w:val="16"/>
          <w:szCs w:val="16"/>
        </w:rPr>
      </w:pPr>
      <w:r w:rsidRPr="004C2325">
        <w:rPr>
          <w:rFonts w:ascii="Arial" w:hAnsi="Arial" w:cs="Arial"/>
          <w:sz w:val="16"/>
          <w:szCs w:val="16"/>
          <w:lang w:val="en-US"/>
        </w:rPr>
        <w:t>(f)  processing is necessary for the purposes of the legitimate interests pursued by the controller or by a third party, except where such interests are overridden by the interests of fundamental rights and freedoms of the data subject which require protection of personal data, in particular where the data subject is a child.</w:t>
      </w:r>
    </w:p>
    <w:p w14:paraId="33BAEA23" w14:textId="77777777" w:rsidR="00D83EAF" w:rsidRPr="004C2325" w:rsidRDefault="00D83EAF" w:rsidP="00D83EAF">
      <w:pPr>
        <w:pStyle w:val="NormalWeb"/>
        <w:spacing w:before="0" w:beforeAutospacing="0" w:after="0" w:afterAutospacing="0"/>
        <w:rPr>
          <w:rFonts w:ascii="Arial" w:hAnsi="Arial" w:cs="Arial"/>
          <w:sz w:val="16"/>
          <w:szCs w:val="16"/>
        </w:rPr>
      </w:pPr>
      <w:r w:rsidRPr="004C2325">
        <w:rPr>
          <w:rFonts w:ascii="Arial" w:hAnsi="Arial" w:cs="Arial"/>
          <w:sz w:val="16"/>
          <w:szCs w:val="16"/>
          <w:lang w:val="en-US"/>
        </w:rPr>
        <w:t xml:space="preserve">Although, Article 6(1)(f) does not apply to processing carried out by public authorities in the performance of their tasks, in sharing information with DBS the data controller would not fall foul of this caveat as the information is shared for the DBS function rather than that of the Trust – </w:t>
      </w:r>
      <w:proofErr w:type="spellStart"/>
      <w:r w:rsidRPr="004C2325">
        <w:rPr>
          <w:rFonts w:ascii="Arial" w:hAnsi="Arial" w:cs="Arial"/>
          <w:sz w:val="16"/>
          <w:szCs w:val="16"/>
          <w:lang w:val="en-US"/>
        </w:rPr>
        <w:t>ie</w:t>
      </w:r>
      <w:proofErr w:type="spellEnd"/>
      <w:r w:rsidRPr="004C2325">
        <w:rPr>
          <w:rFonts w:ascii="Arial" w:hAnsi="Arial" w:cs="Arial"/>
          <w:sz w:val="16"/>
          <w:szCs w:val="16"/>
          <w:lang w:val="en-US"/>
        </w:rPr>
        <w:t xml:space="preserve"> for direct care purpose and any disclosure to protect the vital interests of individuals. </w:t>
      </w:r>
    </w:p>
    <w:p w14:paraId="24B52040" w14:textId="77777777" w:rsidR="00D83EAF" w:rsidRPr="004C2325" w:rsidRDefault="00D83EAF" w:rsidP="00D83EAF">
      <w:pPr>
        <w:pStyle w:val="NormalWeb"/>
        <w:spacing w:before="0" w:beforeAutospacing="0" w:after="0" w:afterAutospacing="0"/>
        <w:rPr>
          <w:rFonts w:ascii="Arial" w:hAnsi="Arial" w:cs="Arial"/>
          <w:sz w:val="16"/>
          <w:szCs w:val="16"/>
        </w:rPr>
      </w:pPr>
      <w:r w:rsidRPr="004C2325">
        <w:rPr>
          <w:rFonts w:ascii="Arial" w:hAnsi="Arial" w:cs="Arial"/>
          <w:sz w:val="16"/>
          <w:szCs w:val="16"/>
          <w:lang w:val="en-US"/>
        </w:rPr>
        <w:t> </w:t>
      </w:r>
    </w:p>
    <w:p w14:paraId="53A3016E" w14:textId="77777777" w:rsidR="00D83EAF" w:rsidRPr="004C2325" w:rsidRDefault="00D83EAF" w:rsidP="00D83EAF">
      <w:pPr>
        <w:pStyle w:val="NormalWeb"/>
        <w:spacing w:before="0" w:beforeAutospacing="0" w:after="0" w:afterAutospacing="0"/>
        <w:rPr>
          <w:rFonts w:ascii="Arial" w:hAnsi="Arial" w:cs="Arial"/>
          <w:sz w:val="16"/>
          <w:szCs w:val="16"/>
        </w:rPr>
      </w:pPr>
      <w:r w:rsidRPr="004C2325">
        <w:rPr>
          <w:rFonts w:ascii="Arial" w:hAnsi="Arial" w:cs="Arial"/>
          <w:b/>
          <w:bCs/>
          <w:sz w:val="16"/>
          <w:szCs w:val="16"/>
          <w:lang w:val="en-US"/>
        </w:rPr>
        <w:t>Article 9</w:t>
      </w:r>
    </w:p>
    <w:p w14:paraId="2F7AAC0F" w14:textId="77777777" w:rsidR="00D83EAF" w:rsidRPr="004C2325" w:rsidRDefault="00D83EAF" w:rsidP="00D83EAF">
      <w:pPr>
        <w:pStyle w:val="NormalWeb"/>
        <w:spacing w:before="0" w:beforeAutospacing="0" w:after="0" w:afterAutospacing="0"/>
        <w:rPr>
          <w:rFonts w:ascii="Arial" w:hAnsi="Arial" w:cs="Arial"/>
          <w:sz w:val="16"/>
          <w:szCs w:val="16"/>
        </w:rPr>
      </w:pPr>
      <w:r w:rsidRPr="004C2325">
        <w:rPr>
          <w:rFonts w:ascii="Arial" w:hAnsi="Arial" w:cs="Arial"/>
          <w:sz w:val="16"/>
          <w:szCs w:val="16"/>
        </w:rPr>
        <w:t>Art 9 of GDPR sets out that processing of special categories of personal data is prohibited but this prohibition does not apply if, inter alia, the processing is necessary for reasons of substantial public interest (Art 9(2)(g). The GDPR principle of processing under “substantial public interest” is supplemented by provisions within the DPA 2018 as follows:</w:t>
      </w:r>
    </w:p>
    <w:p w14:paraId="10277FC9" w14:textId="77777777" w:rsidR="00D83EAF" w:rsidRPr="004C2325" w:rsidRDefault="00D83EAF" w:rsidP="00D83EAF">
      <w:pPr>
        <w:pStyle w:val="NormalWeb"/>
        <w:spacing w:before="0" w:beforeAutospacing="0" w:after="0" w:afterAutospacing="0"/>
        <w:rPr>
          <w:rFonts w:ascii="Arial" w:hAnsi="Arial" w:cs="Arial"/>
          <w:sz w:val="16"/>
          <w:szCs w:val="16"/>
        </w:rPr>
      </w:pPr>
      <w:r w:rsidRPr="004C2325">
        <w:rPr>
          <w:rFonts w:ascii="Arial" w:hAnsi="Arial" w:cs="Arial"/>
          <w:b/>
          <w:bCs/>
          <w:sz w:val="16"/>
          <w:szCs w:val="16"/>
          <w:lang w:val="en-US"/>
        </w:rPr>
        <w:t>Data Protection Act 2018.</w:t>
      </w:r>
    </w:p>
    <w:p w14:paraId="565E0EAC" w14:textId="77777777" w:rsidR="00D83EAF" w:rsidRPr="004C2325" w:rsidRDefault="00D83EAF" w:rsidP="00D83EAF">
      <w:pPr>
        <w:pStyle w:val="NormalWeb"/>
        <w:spacing w:before="0" w:beforeAutospacing="0" w:after="0" w:afterAutospacing="0"/>
        <w:rPr>
          <w:rFonts w:ascii="Arial" w:hAnsi="Arial" w:cs="Arial"/>
          <w:sz w:val="16"/>
          <w:szCs w:val="16"/>
        </w:rPr>
      </w:pPr>
      <w:r w:rsidRPr="004C2325">
        <w:rPr>
          <w:rFonts w:ascii="Arial" w:hAnsi="Arial" w:cs="Arial"/>
          <w:sz w:val="16"/>
          <w:szCs w:val="16"/>
        </w:rPr>
        <w:t>S10 (1)(b) makes provision about processing personal data set out in Art 9 (1) in reliance on one of the exceptions set out in Art 9(2). Art 9(2)(g) covers processing under substantial public interest.</w:t>
      </w:r>
    </w:p>
    <w:p w14:paraId="7165AF5A" w14:textId="77777777" w:rsidR="00D83EAF" w:rsidRPr="004C2325" w:rsidRDefault="00D83EAF" w:rsidP="00D83EAF">
      <w:pPr>
        <w:pStyle w:val="NormalWeb"/>
        <w:spacing w:before="0" w:beforeAutospacing="0" w:after="0" w:afterAutospacing="0"/>
        <w:rPr>
          <w:rFonts w:ascii="Arial" w:hAnsi="Arial" w:cs="Arial"/>
          <w:sz w:val="16"/>
          <w:szCs w:val="16"/>
        </w:rPr>
      </w:pPr>
      <w:r w:rsidRPr="004C2325">
        <w:rPr>
          <w:rFonts w:ascii="Arial" w:hAnsi="Arial" w:cs="Arial"/>
          <w:sz w:val="16"/>
          <w:szCs w:val="16"/>
        </w:rPr>
        <w:t xml:space="preserve">S10(3) sets out that processing meets the requirement in point (g) of Art 9(2) for a basis in the law of the UK or part of the UK only if it meets a condition in Part 2 of </w:t>
      </w:r>
      <w:proofErr w:type="spellStart"/>
      <w:r w:rsidRPr="004C2325">
        <w:rPr>
          <w:rFonts w:ascii="Arial" w:hAnsi="Arial" w:cs="Arial"/>
          <w:sz w:val="16"/>
          <w:szCs w:val="16"/>
        </w:rPr>
        <w:t>Sch</w:t>
      </w:r>
      <w:proofErr w:type="spellEnd"/>
      <w:r w:rsidRPr="004C2325">
        <w:rPr>
          <w:rFonts w:ascii="Arial" w:hAnsi="Arial" w:cs="Arial"/>
          <w:sz w:val="16"/>
          <w:szCs w:val="16"/>
        </w:rPr>
        <w:t xml:space="preserve"> 1 to the DPA 2018.</w:t>
      </w:r>
    </w:p>
    <w:p w14:paraId="5D002E19" w14:textId="77777777" w:rsidR="00D83EAF" w:rsidRDefault="00D83EAF" w:rsidP="00C23ACC"/>
    <w:sectPr w:rsidR="00D83EAF" w:rsidSect="002F2E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9FB1"/>
      </v:shape>
    </w:pict>
  </w:numPicBullet>
  <w:abstractNum w:abstractNumId="0" w15:restartNumberingAfterBreak="0">
    <w:nsid w:val="03E9339D"/>
    <w:multiLevelType w:val="hybridMultilevel"/>
    <w:tmpl w:val="80C80BC2"/>
    <w:lvl w:ilvl="0" w:tplc="7AFEC050">
      <w:start w:val="1"/>
      <w:numFmt w:val="decimal"/>
      <w:lvlText w:val="%1."/>
      <w:lvlJc w:val="left"/>
      <w:pPr>
        <w:tabs>
          <w:tab w:val="num" w:pos="720"/>
        </w:tabs>
        <w:ind w:left="720" w:hanging="360"/>
      </w:pPr>
    </w:lvl>
    <w:lvl w:ilvl="1" w:tplc="44CE0192">
      <w:start w:val="1"/>
      <w:numFmt w:val="decimal"/>
      <w:lvlText w:val="%2."/>
      <w:lvlJc w:val="left"/>
      <w:pPr>
        <w:tabs>
          <w:tab w:val="num" w:pos="1440"/>
        </w:tabs>
        <w:ind w:left="1440" w:hanging="360"/>
      </w:pPr>
    </w:lvl>
    <w:lvl w:ilvl="2" w:tplc="9F503B54">
      <w:start w:val="1"/>
      <w:numFmt w:val="decimal"/>
      <w:lvlText w:val="%3."/>
      <w:lvlJc w:val="left"/>
      <w:pPr>
        <w:tabs>
          <w:tab w:val="num" w:pos="2160"/>
        </w:tabs>
        <w:ind w:left="2160" w:hanging="360"/>
      </w:pPr>
    </w:lvl>
    <w:lvl w:ilvl="3" w:tplc="7B6E997E">
      <w:start w:val="1"/>
      <w:numFmt w:val="decimal"/>
      <w:lvlText w:val="%4."/>
      <w:lvlJc w:val="left"/>
      <w:pPr>
        <w:tabs>
          <w:tab w:val="num" w:pos="2880"/>
        </w:tabs>
        <w:ind w:left="2880" w:hanging="360"/>
      </w:pPr>
    </w:lvl>
    <w:lvl w:ilvl="4" w:tplc="DFC8A32C">
      <w:start w:val="1"/>
      <w:numFmt w:val="decimal"/>
      <w:lvlText w:val="%5."/>
      <w:lvlJc w:val="left"/>
      <w:pPr>
        <w:tabs>
          <w:tab w:val="num" w:pos="3600"/>
        </w:tabs>
        <w:ind w:left="3600" w:hanging="360"/>
      </w:pPr>
    </w:lvl>
    <w:lvl w:ilvl="5" w:tplc="76507DE4">
      <w:start w:val="1"/>
      <w:numFmt w:val="decimal"/>
      <w:lvlText w:val="%6."/>
      <w:lvlJc w:val="left"/>
      <w:pPr>
        <w:tabs>
          <w:tab w:val="num" w:pos="4320"/>
        </w:tabs>
        <w:ind w:left="4320" w:hanging="360"/>
      </w:pPr>
    </w:lvl>
    <w:lvl w:ilvl="6" w:tplc="0898174A">
      <w:start w:val="1"/>
      <w:numFmt w:val="decimal"/>
      <w:lvlText w:val="%7."/>
      <w:lvlJc w:val="left"/>
      <w:pPr>
        <w:tabs>
          <w:tab w:val="num" w:pos="5040"/>
        </w:tabs>
        <w:ind w:left="5040" w:hanging="360"/>
      </w:pPr>
    </w:lvl>
    <w:lvl w:ilvl="7" w:tplc="D0AA94C0">
      <w:start w:val="1"/>
      <w:numFmt w:val="decimal"/>
      <w:lvlText w:val="%8."/>
      <w:lvlJc w:val="left"/>
      <w:pPr>
        <w:tabs>
          <w:tab w:val="num" w:pos="5760"/>
        </w:tabs>
        <w:ind w:left="5760" w:hanging="360"/>
      </w:pPr>
    </w:lvl>
    <w:lvl w:ilvl="8" w:tplc="2EBEB7D6">
      <w:start w:val="1"/>
      <w:numFmt w:val="decimal"/>
      <w:lvlText w:val="%9."/>
      <w:lvlJc w:val="left"/>
      <w:pPr>
        <w:tabs>
          <w:tab w:val="num" w:pos="6480"/>
        </w:tabs>
        <w:ind w:left="6480" w:hanging="360"/>
      </w:pPr>
    </w:lvl>
  </w:abstractNum>
  <w:abstractNum w:abstractNumId="1" w15:restartNumberingAfterBreak="0">
    <w:nsid w:val="14BD40D6"/>
    <w:multiLevelType w:val="hybridMultilevel"/>
    <w:tmpl w:val="46E886A8"/>
    <w:lvl w:ilvl="0" w:tplc="724E8F58">
      <w:start w:val="1"/>
      <w:numFmt w:val="decimal"/>
      <w:lvlText w:val="%1."/>
      <w:lvlJc w:val="left"/>
      <w:pPr>
        <w:tabs>
          <w:tab w:val="num" w:pos="720"/>
        </w:tabs>
        <w:ind w:left="720" w:hanging="360"/>
      </w:pPr>
    </w:lvl>
    <w:lvl w:ilvl="1" w:tplc="A7285400">
      <w:start w:val="1"/>
      <w:numFmt w:val="decimal"/>
      <w:lvlText w:val="%2."/>
      <w:lvlJc w:val="left"/>
      <w:pPr>
        <w:tabs>
          <w:tab w:val="num" w:pos="1440"/>
        </w:tabs>
        <w:ind w:left="1440" w:hanging="360"/>
      </w:pPr>
    </w:lvl>
    <w:lvl w:ilvl="2" w:tplc="1400C7FC">
      <w:start w:val="1"/>
      <w:numFmt w:val="decimal"/>
      <w:lvlText w:val="%3."/>
      <w:lvlJc w:val="left"/>
      <w:pPr>
        <w:tabs>
          <w:tab w:val="num" w:pos="2160"/>
        </w:tabs>
        <w:ind w:left="2160" w:hanging="360"/>
      </w:pPr>
    </w:lvl>
    <w:lvl w:ilvl="3" w:tplc="97B4646A">
      <w:start w:val="1"/>
      <w:numFmt w:val="decimal"/>
      <w:lvlText w:val="%4."/>
      <w:lvlJc w:val="left"/>
      <w:pPr>
        <w:tabs>
          <w:tab w:val="num" w:pos="2880"/>
        </w:tabs>
        <w:ind w:left="2880" w:hanging="360"/>
      </w:pPr>
    </w:lvl>
    <w:lvl w:ilvl="4" w:tplc="958EF3E2">
      <w:start w:val="1"/>
      <w:numFmt w:val="decimal"/>
      <w:lvlText w:val="%5."/>
      <w:lvlJc w:val="left"/>
      <w:pPr>
        <w:tabs>
          <w:tab w:val="num" w:pos="3600"/>
        </w:tabs>
        <w:ind w:left="3600" w:hanging="360"/>
      </w:pPr>
    </w:lvl>
    <w:lvl w:ilvl="5" w:tplc="CEA40C02">
      <w:start w:val="1"/>
      <w:numFmt w:val="decimal"/>
      <w:lvlText w:val="%6."/>
      <w:lvlJc w:val="left"/>
      <w:pPr>
        <w:tabs>
          <w:tab w:val="num" w:pos="4320"/>
        </w:tabs>
        <w:ind w:left="4320" w:hanging="360"/>
      </w:pPr>
    </w:lvl>
    <w:lvl w:ilvl="6" w:tplc="FB2A15F4">
      <w:start w:val="1"/>
      <w:numFmt w:val="decimal"/>
      <w:lvlText w:val="%7."/>
      <w:lvlJc w:val="left"/>
      <w:pPr>
        <w:tabs>
          <w:tab w:val="num" w:pos="5040"/>
        </w:tabs>
        <w:ind w:left="5040" w:hanging="360"/>
      </w:pPr>
    </w:lvl>
    <w:lvl w:ilvl="7" w:tplc="A29CCC80">
      <w:start w:val="1"/>
      <w:numFmt w:val="decimal"/>
      <w:lvlText w:val="%8."/>
      <w:lvlJc w:val="left"/>
      <w:pPr>
        <w:tabs>
          <w:tab w:val="num" w:pos="5760"/>
        </w:tabs>
        <w:ind w:left="5760" w:hanging="360"/>
      </w:pPr>
    </w:lvl>
    <w:lvl w:ilvl="8" w:tplc="EDE4CFB6">
      <w:start w:val="1"/>
      <w:numFmt w:val="decimal"/>
      <w:lvlText w:val="%9."/>
      <w:lvlJc w:val="left"/>
      <w:pPr>
        <w:tabs>
          <w:tab w:val="num" w:pos="6480"/>
        </w:tabs>
        <w:ind w:left="6480" w:hanging="360"/>
      </w:pPr>
    </w:lvl>
  </w:abstractNum>
  <w:abstractNum w:abstractNumId="2" w15:restartNumberingAfterBreak="0">
    <w:nsid w:val="19080207"/>
    <w:multiLevelType w:val="hybridMultilevel"/>
    <w:tmpl w:val="000889CA"/>
    <w:lvl w:ilvl="0" w:tplc="9C748604">
      <w:start w:val="1"/>
      <w:numFmt w:val="lowerLetter"/>
      <w:lvlText w:val="%1."/>
      <w:lvlJc w:val="left"/>
      <w:pPr>
        <w:tabs>
          <w:tab w:val="num" w:pos="720"/>
        </w:tabs>
        <w:ind w:left="720" w:hanging="360"/>
      </w:pPr>
    </w:lvl>
    <w:lvl w:ilvl="1" w:tplc="DD827ACE">
      <w:start w:val="1"/>
      <w:numFmt w:val="lowerLetter"/>
      <w:lvlText w:val="%2."/>
      <w:lvlJc w:val="left"/>
      <w:pPr>
        <w:tabs>
          <w:tab w:val="num" w:pos="1440"/>
        </w:tabs>
        <w:ind w:left="1440" w:hanging="360"/>
      </w:pPr>
    </w:lvl>
    <w:lvl w:ilvl="2" w:tplc="90FED3B2">
      <w:start w:val="1"/>
      <w:numFmt w:val="lowerLetter"/>
      <w:lvlText w:val="%3."/>
      <w:lvlJc w:val="left"/>
      <w:pPr>
        <w:tabs>
          <w:tab w:val="num" w:pos="2160"/>
        </w:tabs>
        <w:ind w:left="2160" w:hanging="360"/>
      </w:pPr>
    </w:lvl>
    <w:lvl w:ilvl="3" w:tplc="E5DCEB52">
      <w:start w:val="1"/>
      <w:numFmt w:val="lowerLetter"/>
      <w:lvlText w:val="%4."/>
      <w:lvlJc w:val="left"/>
      <w:pPr>
        <w:tabs>
          <w:tab w:val="num" w:pos="2880"/>
        </w:tabs>
        <w:ind w:left="2880" w:hanging="360"/>
      </w:pPr>
    </w:lvl>
    <w:lvl w:ilvl="4" w:tplc="38F44802">
      <w:start w:val="1"/>
      <w:numFmt w:val="lowerLetter"/>
      <w:lvlText w:val="%5."/>
      <w:lvlJc w:val="left"/>
      <w:pPr>
        <w:tabs>
          <w:tab w:val="num" w:pos="3600"/>
        </w:tabs>
        <w:ind w:left="3600" w:hanging="360"/>
      </w:pPr>
    </w:lvl>
    <w:lvl w:ilvl="5" w:tplc="F0B27916">
      <w:start w:val="1"/>
      <w:numFmt w:val="lowerLetter"/>
      <w:lvlText w:val="%6."/>
      <w:lvlJc w:val="left"/>
      <w:pPr>
        <w:tabs>
          <w:tab w:val="num" w:pos="4320"/>
        </w:tabs>
        <w:ind w:left="4320" w:hanging="360"/>
      </w:pPr>
    </w:lvl>
    <w:lvl w:ilvl="6" w:tplc="DF6A9AA0">
      <w:start w:val="1"/>
      <w:numFmt w:val="lowerLetter"/>
      <w:lvlText w:val="%7."/>
      <w:lvlJc w:val="left"/>
      <w:pPr>
        <w:tabs>
          <w:tab w:val="num" w:pos="5040"/>
        </w:tabs>
        <w:ind w:left="5040" w:hanging="360"/>
      </w:pPr>
    </w:lvl>
    <w:lvl w:ilvl="7" w:tplc="5ED6B250">
      <w:start w:val="1"/>
      <w:numFmt w:val="lowerLetter"/>
      <w:lvlText w:val="%8."/>
      <w:lvlJc w:val="left"/>
      <w:pPr>
        <w:tabs>
          <w:tab w:val="num" w:pos="5760"/>
        </w:tabs>
        <w:ind w:left="5760" w:hanging="360"/>
      </w:pPr>
    </w:lvl>
    <w:lvl w:ilvl="8" w:tplc="1A9C1A9E">
      <w:start w:val="1"/>
      <w:numFmt w:val="lowerLetter"/>
      <w:lvlText w:val="%9."/>
      <w:lvlJc w:val="left"/>
      <w:pPr>
        <w:tabs>
          <w:tab w:val="num" w:pos="6480"/>
        </w:tabs>
        <w:ind w:left="6480" w:hanging="360"/>
      </w:pPr>
    </w:lvl>
  </w:abstractNum>
  <w:abstractNum w:abstractNumId="3" w15:restartNumberingAfterBreak="0">
    <w:nsid w:val="20A75F81"/>
    <w:multiLevelType w:val="hybridMultilevel"/>
    <w:tmpl w:val="3B4647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B7338"/>
    <w:multiLevelType w:val="hybridMultilevel"/>
    <w:tmpl w:val="E5E89010"/>
    <w:lvl w:ilvl="0" w:tplc="28DCD024">
      <w:start w:val="1"/>
      <w:numFmt w:val="lowerLetter"/>
      <w:lvlText w:val="%1."/>
      <w:lvlJc w:val="left"/>
      <w:pPr>
        <w:tabs>
          <w:tab w:val="num" w:pos="720"/>
        </w:tabs>
        <w:ind w:left="720" w:hanging="360"/>
      </w:pPr>
    </w:lvl>
    <w:lvl w:ilvl="1" w:tplc="7AA46466">
      <w:start w:val="1"/>
      <w:numFmt w:val="lowerLetter"/>
      <w:lvlText w:val="%2."/>
      <w:lvlJc w:val="left"/>
      <w:pPr>
        <w:tabs>
          <w:tab w:val="num" w:pos="1440"/>
        </w:tabs>
        <w:ind w:left="1440" w:hanging="360"/>
      </w:pPr>
    </w:lvl>
    <w:lvl w:ilvl="2" w:tplc="29BC9240">
      <w:start w:val="1"/>
      <w:numFmt w:val="lowerLetter"/>
      <w:lvlText w:val="%3."/>
      <w:lvlJc w:val="left"/>
      <w:pPr>
        <w:tabs>
          <w:tab w:val="num" w:pos="2160"/>
        </w:tabs>
        <w:ind w:left="2160" w:hanging="360"/>
      </w:pPr>
    </w:lvl>
    <w:lvl w:ilvl="3" w:tplc="46801D80">
      <w:start w:val="1"/>
      <w:numFmt w:val="lowerLetter"/>
      <w:lvlText w:val="%4."/>
      <w:lvlJc w:val="left"/>
      <w:pPr>
        <w:tabs>
          <w:tab w:val="num" w:pos="2880"/>
        </w:tabs>
        <w:ind w:left="2880" w:hanging="360"/>
      </w:pPr>
    </w:lvl>
    <w:lvl w:ilvl="4" w:tplc="35EA9AD4">
      <w:start w:val="1"/>
      <w:numFmt w:val="lowerLetter"/>
      <w:lvlText w:val="%5."/>
      <w:lvlJc w:val="left"/>
      <w:pPr>
        <w:tabs>
          <w:tab w:val="num" w:pos="3600"/>
        </w:tabs>
        <w:ind w:left="3600" w:hanging="360"/>
      </w:pPr>
    </w:lvl>
    <w:lvl w:ilvl="5" w:tplc="308E2626">
      <w:start w:val="1"/>
      <w:numFmt w:val="lowerLetter"/>
      <w:lvlText w:val="%6."/>
      <w:lvlJc w:val="left"/>
      <w:pPr>
        <w:tabs>
          <w:tab w:val="num" w:pos="4320"/>
        </w:tabs>
        <w:ind w:left="4320" w:hanging="360"/>
      </w:pPr>
    </w:lvl>
    <w:lvl w:ilvl="6" w:tplc="F35CAD1A">
      <w:start w:val="1"/>
      <w:numFmt w:val="lowerLetter"/>
      <w:lvlText w:val="%7."/>
      <w:lvlJc w:val="left"/>
      <w:pPr>
        <w:tabs>
          <w:tab w:val="num" w:pos="5040"/>
        </w:tabs>
        <w:ind w:left="5040" w:hanging="360"/>
      </w:pPr>
    </w:lvl>
    <w:lvl w:ilvl="7" w:tplc="714AAF6C">
      <w:start w:val="1"/>
      <w:numFmt w:val="lowerLetter"/>
      <w:lvlText w:val="%8."/>
      <w:lvlJc w:val="left"/>
      <w:pPr>
        <w:tabs>
          <w:tab w:val="num" w:pos="5760"/>
        </w:tabs>
        <w:ind w:left="5760" w:hanging="360"/>
      </w:pPr>
    </w:lvl>
    <w:lvl w:ilvl="8" w:tplc="5634968E">
      <w:start w:val="1"/>
      <w:numFmt w:val="lowerLetter"/>
      <w:lvlText w:val="%9."/>
      <w:lvlJc w:val="left"/>
      <w:pPr>
        <w:tabs>
          <w:tab w:val="num" w:pos="6480"/>
        </w:tabs>
        <w:ind w:left="6480" w:hanging="360"/>
      </w:pPr>
    </w:lvl>
  </w:abstractNum>
  <w:abstractNum w:abstractNumId="5" w15:restartNumberingAfterBreak="0">
    <w:nsid w:val="65A94AAC"/>
    <w:multiLevelType w:val="hybridMultilevel"/>
    <w:tmpl w:val="F6223C5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CC"/>
    <w:rsid w:val="002775BE"/>
    <w:rsid w:val="002F2EA5"/>
    <w:rsid w:val="004C2325"/>
    <w:rsid w:val="004D529D"/>
    <w:rsid w:val="005F6C7A"/>
    <w:rsid w:val="008647D6"/>
    <w:rsid w:val="008E1603"/>
    <w:rsid w:val="00C23ACC"/>
    <w:rsid w:val="00D83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8961"/>
  <w15:chartTrackingRefBased/>
  <w15:docId w15:val="{1B20CF8A-BDD0-4393-B52B-BDEA8A0F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ACC"/>
    <w:rPr>
      <w:color w:val="0000FF"/>
      <w:u w:val="single"/>
    </w:rPr>
  </w:style>
  <w:style w:type="paragraph" w:styleId="ListParagraph">
    <w:name w:val="List Paragraph"/>
    <w:basedOn w:val="Normal"/>
    <w:uiPriority w:val="34"/>
    <w:qFormat/>
    <w:rsid w:val="008647D6"/>
    <w:pPr>
      <w:ind w:left="720"/>
      <w:contextualSpacing/>
    </w:pPr>
  </w:style>
  <w:style w:type="character" w:styleId="UnresolvedMention">
    <w:name w:val="Unresolved Mention"/>
    <w:basedOn w:val="DefaultParagraphFont"/>
    <w:uiPriority w:val="99"/>
    <w:semiHidden/>
    <w:unhideWhenUsed/>
    <w:rsid w:val="008647D6"/>
    <w:rPr>
      <w:color w:val="605E5C"/>
      <w:shd w:val="clear" w:color="auto" w:fill="E1DFDD"/>
    </w:rPr>
  </w:style>
  <w:style w:type="paragraph" w:styleId="NormalWeb">
    <w:name w:val="Normal (Web)"/>
    <w:basedOn w:val="Normal"/>
    <w:uiPriority w:val="99"/>
    <w:semiHidden/>
    <w:unhideWhenUsed/>
    <w:rsid w:val="00D83EAF"/>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1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legislation.gov.uk/ukpga/2018/1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working-together-to-safeguard-children--2" TargetMode="External"/><Relationship Id="rId11" Type="http://schemas.openxmlformats.org/officeDocument/2006/relationships/fontTable" Target="fontTable.xml"/><Relationship Id="rId5" Type="http://schemas.openxmlformats.org/officeDocument/2006/relationships/hyperlink" Target="https://assets.publishing.service.gov.uk/government/uploads/system/uploads/attachment_data/file/1062969/Information_sharing_advice_practitioners_safeguarding_services.pdf" TargetMode="External"/><Relationship Id="rId10" Type="http://schemas.openxmlformats.org/officeDocument/2006/relationships/hyperlink" Target="https://digital.nhs.uk/services/data-access-request-service-dars/how-the-national-data-opt-out-affects-data-released-by-nhs-digital/national-data-opt-out-guidance-for-researchers/4-section-251-and-the-application-of-national-data-opt-outs" TargetMode="External"/><Relationship Id="rId4" Type="http://schemas.openxmlformats.org/officeDocument/2006/relationships/webSettings" Target="webSettings.xml"/><Relationship Id="rId9" Type="http://schemas.openxmlformats.org/officeDocument/2006/relationships/hyperlink" Target="https://www.gmc-uk.org/ethical-guidance/ethical-guidance-for-doctors/confidentiali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Gibson</dc:creator>
  <cp:keywords/>
  <dc:description/>
  <cp:lastModifiedBy>Kenny Gibson</cp:lastModifiedBy>
  <cp:revision>2</cp:revision>
  <dcterms:created xsi:type="dcterms:W3CDTF">2022-06-21T06:17:00Z</dcterms:created>
  <dcterms:modified xsi:type="dcterms:W3CDTF">2022-06-21T07:21:00Z</dcterms:modified>
</cp:coreProperties>
</file>